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附件2：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</w:p>
    <w:tbl>
      <w:tblPr>
        <w:tblStyle w:val="2"/>
        <w:tblpPr w:leftFromText="180" w:rightFromText="180" w:vertAnchor="page" w:horzAnchor="page" w:tblpX="1362" w:tblpY="2625"/>
        <w:tblOverlap w:val="never"/>
        <w:tblW w:w="14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5935"/>
        <w:gridCol w:w="1669"/>
        <w:gridCol w:w="5051"/>
        <w:gridCol w:w="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课件名称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专家单位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《中华人民共和国生物安全法》解读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慧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应急总医院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病原微生物的危害评估总论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吕燕宁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北京市疾病预防控制中心传染病地方病控制所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实验室生物安全管理（上）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孙丽翠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实验室生物安全管理（下）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孙丽翠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实验室风险管理与生物安全事故处置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孙丽翠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疫情与生物安全概论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孙丽翠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疫情相关的实验室生物危害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孙丽翠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新冠实验室检测规范解读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慧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应急总医院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新冠核酸检测实验室的生物安全管理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慧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应急总医院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实验室设计原则与生物安全实施及管理要求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左大鹏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首都医科大学附属北京安贞医院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职业暴露后生物安全处理及注意事项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左大鹏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首都医科大学附属北京安贞医院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医疗废物处理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王晓英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中国动物疫病预防控制中心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应急预案的基本内容和应急处理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慧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各类实验室安全事件的应急处理程序及善后管理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白媛媛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山东第一医科大学附属省立医院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生物安全管理体系概论及管理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炎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山东第一医科大学附属省立医院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不同风险类型引发的实验室事故及原因分析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炎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山东第一医科大学附属省立医院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病原微生物实验室生物安全管理远程培训（课程）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380" w:right="1440" w:bottom="8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5BB5"/>
    <w:rsid w:val="41022312"/>
    <w:rsid w:val="61D004A4"/>
    <w:rsid w:val="707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2022-10-09T02:21:00Z</dcterms:created>
  <dc:creator>Administrator</dc:creator>
  <cp:lastModifiedBy>淡淡烟草~心宽无处不桃源</cp:lastModifiedBy>
  <dcterms:modified xsi:type="dcterms:W3CDTF">2022-10-10T02:36:14Z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